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248" w:rsidRDefault="00492248" w:rsidP="00492248">
      <w:pPr>
        <w:jc w:val="both"/>
        <w:rPr>
          <w:rFonts w:ascii="Arial" w:hAnsi="Arial" w:cs="Arial"/>
          <w:sz w:val="24"/>
          <w:szCs w:val="24"/>
        </w:rPr>
      </w:pPr>
      <w:r w:rsidRPr="00492248">
        <w:rPr>
          <w:rFonts w:ascii="Arial" w:hAnsi="Arial" w:cs="Arial"/>
          <w:sz w:val="24"/>
          <w:szCs w:val="24"/>
        </w:rPr>
        <w:t xml:space="preserve">SCHEDA RELATIVA ALLE DIVERSE FASI DI GESTIONE DI LAVORI E FORNITURE </w:t>
      </w:r>
    </w:p>
    <w:p w:rsidR="00492248" w:rsidRDefault="00492248" w:rsidP="00492248">
      <w:pPr>
        <w:jc w:val="both"/>
        <w:rPr>
          <w:rFonts w:ascii="Arial" w:hAnsi="Arial" w:cs="Arial"/>
          <w:sz w:val="24"/>
          <w:szCs w:val="24"/>
        </w:rPr>
      </w:pPr>
      <w:r w:rsidRPr="00492248">
        <w:rPr>
          <w:rFonts w:ascii="Arial" w:hAnsi="Arial" w:cs="Arial"/>
          <w:sz w:val="24"/>
          <w:szCs w:val="24"/>
        </w:rPr>
        <w:t xml:space="preserve">Controllo periodico e monitoraggio dei tempi programmati anche mediante sistemi di controllo interno di gestione in ordine alle future scadenze contrattuali </w:t>
      </w:r>
      <w:proofErr w:type="gramStart"/>
      <w:r w:rsidRPr="00492248">
        <w:rPr>
          <w:rFonts w:ascii="Arial" w:hAnsi="Arial" w:cs="Arial"/>
          <w:sz w:val="24"/>
          <w:szCs w:val="24"/>
        </w:rPr>
        <w:t>( obblighi</w:t>
      </w:r>
      <w:proofErr w:type="gramEnd"/>
      <w:r w:rsidRPr="00492248">
        <w:rPr>
          <w:rFonts w:ascii="Arial" w:hAnsi="Arial" w:cs="Arial"/>
          <w:sz w:val="24"/>
          <w:szCs w:val="24"/>
        </w:rPr>
        <w:t xml:space="preserve"> specifici di informazione in relazione alle prossime scadenze contrattuali da parte del responsabile del procedimento ai soggetti deputati a programmare le procedure di gara)</w:t>
      </w:r>
    </w:p>
    <w:p w:rsidR="00492248" w:rsidRDefault="00492248" w:rsidP="00492248">
      <w:pPr>
        <w:jc w:val="both"/>
        <w:rPr>
          <w:rFonts w:ascii="Arial" w:hAnsi="Arial" w:cs="Arial"/>
          <w:sz w:val="24"/>
          <w:szCs w:val="24"/>
        </w:rPr>
      </w:pPr>
      <w:r w:rsidRPr="00492248">
        <w:rPr>
          <w:rFonts w:ascii="Arial" w:hAnsi="Arial" w:cs="Arial"/>
          <w:sz w:val="24"/>
          <w:szCs w:val="24"/>
        </w:rPr>
        <w:t>Pubblicazione, sui siti istituzionali, di report periodici in cui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492248">
        <w:rPr>
          <w:rFonts w:ascii="Arial" w:hAnsi="Arial" w:cs="Arial"/>
          <w:sz w:val="24"/>
          <w:szCs w:val="24"/>
        </w:rPr>
        <w:t xml:space="preserve">siano rendicontati i contratti prorogati e i contratti affidati in via d'urgenza e relative motivazioni </w:t>
      </w:r>
    </w:p>
    <w:p w:rsidR="00492248" w:rsidRDefault="00492248" w:rsidP="00492248">
      <w:pPr>
        <w:jc w:val="both"/>
        <w:rPr>
          <w:rFonts w:ascii="Arial" w:hAnsi="Arial" w:cs="Arial"/>
          <w:sz w:val="24"/>
          <w:szCs w:val="24"/>
        </w:rPr>
      </w:pPr>
      <w:r w:rsidRPr="00492248">
        <w:rPr>
          <w:rFonts w:ascii="Arial" w:hAnsi="Arial" w:cs="Arial"/>
          <w:sz w:val="24"/>
          <w:szCs w:val="24"/>
        </w:rPr>
        <w:t>Per rilevanti importi contrattuali previsione di obblighi di comunicazione/informazione puntuale nei confronti del RPC in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492248">
        <w:rPr>
          <w:rFonts w:ascii="Arial" w:hAnsi="Arial" w:cs="Arial"/>
          <w:sz w:val="24"/>
          <w:szCs w:val="24"/>
        </w:rPr>
        <w:t xml:space="preserve">caso di proroghe contrattuali o affidamenti d'urgenza da effettuarsi tempestivamente </w:t>
      </w:r>
    </w:p>
    <w:p w:rsidR="00C95C26" w:rsidRDefault="00492248" w:rsidP="00492248">
      <w:pPr>
        <w:jc w:val="both"/>
        <w:rPr>
          <w:rFonts w:ascii="Arial" w:hAnsi="Arial" w:cs="Arial"/>
          <w:sz w:val="24"/>
          <w:szCs w:val="24"/>
        </w:rPr>
      </w:pPr>
      <w:r w:rsidRPr="00492248">
        <w:rPr>
          <w:rFonts w:ascii="Arial" w:hAnsi="Arial" w:cs="Arial"/>
          <w:sz w:val="24"/>
          <w:szCs w:val="24"/>
        </w:rPr>
        <w:t>Obbligo di motivazione nella determina a contrarre in ordine sia alla scelta della procedura sia alla scelta del sistema di affidamento adottato ovvero della tipologia contrattual</w:t>
      </w:r>
      <w:r>
        <w:rPr>
          <w:rFonts w:ascii="Arial" w:hAnsi="Arial" w:cs="Arial"/>
          <w:sz w:val="24"/>
          <w:szCs w:val="24"/>
        </w:rPr>
        <w:t>e</w:t>
      </w:r>
    </w:p>
    <w:p w:rsidR="00D00353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>Adozione di direttive interne/linee guida che limitino il ricorso al criterio dell'OEPV in caso di affidamenti di beni e servizi standardizzati, o di lavori che non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5B601B">
        <w:rPr>
          <w:rFonts w:ascii="Arial" w:hAnsi="Arial" w:cs="Arial"/>
          <w:sz w:val="24"/>
          <w:szCs w:val="24"/>
        </w:rPr>
        <w:t xml:space="preserve">lasciano margini di discrezionalità all'impresa </w:t>
      </w:r>
    </w:p>
    <w:p w:rsidR="00D00353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>Obbligo di dettagliare nel bando di gara in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5B601B">
        <w:rPr>
          <w:rFonts w:ascii="Arial" w:hAnsi="Arial" w:cs="Arial"/>
          <w:sz w:val="24"/>
          <w:szCs w:val="24"/>
        </w:rPr>
        <w:t>modo trasparente e congruo i requisiti minimi di ammissibilità delle varianti progettuali in sede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5B601B">
        <w:rPr>
          <w:rFonts w:ascii="Arial" w:hAnsi="Arial" w:cs="Arial"/>
          <w:sz w:val="24"/>
          <w:szCs w:val="24"/>
        </w:rPr>
        <w:t xml:space="preserve">di offerta </w:t>
      </w:r>
    </w:p>
    <w:p w:rsidR="00D00353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>Sottoscrizione da parte dei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5B601B">
        <w:rPr>
          <w:rFonts w:ascii="Arial" w:hAnsi="Arial" w:cs="Arial"/>
          <w:sz w:val="24"/>
          <w:szCs w:val="24"/>
        </w:rPr>
        <w:t xml:space="preserve">soggetti coinvolti nella redazione della documentazione di gara di dichiarazioni in cui si attesta l'assenza di interessi personali in relazione allo specifico oggetto della gara </w:t>
      </w:r>
    </w:p>
    <w:p w:rsidR="00D00353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 xml:space="preserve">Previsione in tutti i bandi, gli avvisi, le lettere di invito o nei contratti adottati di una clausola risolutiva del contratto a favore della stazione appaltante in caso di gravi inosservanze delle clausole contenute nei protocolli di legalità o nei patti di integrità </w:t>
      </w:r>
    </w:p>
    <w:p w:rsidR="00D00353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 xml:space="preserve">Pubblicazione di un avviso in cui la stazione appaltante rende nota l'intenzione di procedere a consultazioni preliminari di mercato per </w:t>
      </w:r>
      <w:proofErr w:type="gramStart"/>
      <w:r w:rsidRPr="005B601B">
        <w:rPr>
          <w:rFonts w:ascii="Arial" w:hAnsi="Arial" w:cs="Arial"/>
          <w:sz w:val="24"/>
          <w:szCs w:val="24"/>
        </w:rPr>
        <w:t>la</w:t>
      </w:r>
      <w:r w:rsidR="00D00353">
        <w:rPr>
          <w:rFonts w:ascii="Arial" w:hAnsi="Arial" w:cs="Arial"/>
          <w:sz w:val="24"/>
          <w:szCs w:val="24"/>
        </w:rPr>
        <w:t xml:space="preserve">  </w:t>
      </w:r>
      <w:r w:rsidRPr="005B601B">
        <w:rPr>
          <w:rFonts w:ascii="Arial" w:hAnsi="Arial" w:cs="Arial"/>
          <w:sz w:val="24"/>
          <w:szCs w:val="24"/>
        </w:rPr>
        <w:t>redazione</w:t>
      </w:r>
      <w:proofErr w:type="gramEnd"/>
      <w:r w:rsidRPr="005B601B">
        <w:rPr>
          <w:rFonts w:ascii="Arial" w:hAnsi="Arial" w:cs="Arial"/>
          <w:sz w:val="24"/>
          <w:szCs w:val="24"/>
        </w:rPr>
        <w:t xml:space="preserve"> delle specifiche tecniche</w:t>
      </w:r>
    </w:p>
    <w:p w:rsidR="00D00353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>Predeterminazione nella determina a contrarre dei criteri che saranno utilizzati per l'individuazione delle imprese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5B601B">
        <w:rPr>
          <w:rFonts w:ascii="Arial" w:hAnsi="Arial" w:cs="Arial"/>
          <w:sz w:val="24"/>
          <w:szCs w:val="24"/>
        </w:rPr>
        <w:t xml:space="preserve">da invitare </w:t>
      </w:r>
    </w:p>
    <w:p w:rsidR="005B601B" w:rsidRDefault="005B601B" w:rsidP="00492248">
      <w:pPr>
        <w:jc w:val="both"/>
        <w:rPr>
          <w:rFonts w:ascii="Arial" w:hAnsi="Arial" w:cs="Arial"/>
          <w:sz w:val="24"/>
          <w:szCs w:val="24"/>
        </w:rPr>
      </w:pPr>
      <w:r w:rsidRPr="005B601B">
        <w:rPr>
          <w:rFonts w:ascii="Arial" w:hAnsi="Arial" w:cs="Arial"/>
          <w:sz w:val="24"/>
          <w:szCs w:val="24"/>
        </w:rPr>
        <w:t>Utilizzo di</w:t>
      </w:r>
      <w:r w:rsidR="00D00353">
        <w:rPr>
          <w:rFonts w:ascii="Arial" w:hAnsi="Arial" w:cs="Arial"/>
          <w:sz w:val="24"/>
          <w:szCs w:val="24"/>
        </w:rPr>
        <w:t xml:space="preserve"> </w:t>
      </w:r>
      <w:r w:rsidRPr="005B601B">
        <w:rPr>
          <w:rFonts w:ascii="Arial" w:hAnsi="Arial" w:cs="Arial"/>
          <w:sz w:val="24"/>
          <w:szCs w:val="24"/>
        </w:rPr>
        <w:t>sistemi informatizzati per l'individuazione degli operatori da consultare</w:t>
      </w:r>
    </w:p>
    <w:p w:rsidR="00D00353" w:rsidRDefault="00D00353" w:rsidP="00492248">
      <w:pPr>
        <w:jc w:val="both"/>
        <w:rPr>
          <w:rFonts w:ascii="Arial" w:hAnsi="Arial" w:cs="Arial"/>
          <w:sz w:val="24"/>
          <w:szCs w:val="24"/>
        </w:rPr>
      </w:pPr>
      <w:r w:rsidRPr="00D00353">
        <w:rPr>
          <w:rFonts w:ascii="Arial" w:hAnsi="Arial" w:cs="Arial"/>
          <w:sz w:val="24"/>
          <w:szCs w:val="24"/>
        </w:rPr>
        <w:t xml:space="preserve">Obbligo di comunicare al RPC la presenza di ripetuti affidamenti ai medesimi operatori economici in un dato arco temporale (definito in modo congruo dalla stazione appaltante) </w:t>
      </w:r>
    </w:p>
    <w:p w:rsidR="00D00353" w:rsidRDefault="00D00353" w:rsidP="00492248">
      <w:pPr>
        <w:jc w:val="both"/>
        <w:rPr>
          <w:rFonts w:ascii="Arial" w:hAnsi="Arial" w:cs="Arial"/>
          <w:sz w:val="24"/>
          <w:szCs w:val="24"/>
        </w:rPr>
      </w:pPr>
      <w:r w:rsidRPr="00D00353">
        <w:rPr>
          <w:rFonts w:ascii="Arial" w:hAnsi="Arial" w:cs="Arial"/>
          <w:sz w:val="24"/>
          <w:szCs w:val="24"/>
        </w:rPr>
        <w:t xml:space="preserve">Verifica puntuale da parte dell'ufficio acquisti della possibilità di accorpare le procedure di acquisizione di forniture, di affidamento dei servizi o di esecuzione dei lavori omogenei </w:t>
      </w:r>
    </w:p>
    <w:p w:rsidR="00D00353" w:rsidRDefault="00D00353" w:rsidP="00492248">
      <w:pPr>
        <w:jc w:val="both"/>
        <w:rPr>
          <w:rFonts w:ascii="Arial" w:hAnsi="Arial" w:cs="Arial"/>
          <w:sz w:val="24"/>
          <w:szCs w:val="24"/>
        </w:rPr>
      </w:pPr>
      <w:r w:rsidRPr="00D00353">
        <w:rPr>
          <w:rFonts w:ascii="Arial" w:hAnsi="Arial" w:cs="Arial"/>
          <w:sz w:val="24"/>
          <w:szCs w:val="24"/>
        </w:rPr>
        <w:t xml:space="preserve">Accessibilità online della documentazione di gara e/o delle informazioni complementari rese; in caso di documentazione non accessibile online, </w:t>
      </w:r>
      <w:proofErr w:type="spellStart"/>
      <w:r w:rsidRPr="00D00353">
        <w:rPr>
          <w:rFonts w:ascii="Arial" w:hAnsi="Arial" w:cs="Arial"/>
          <w:sz w:val="24"/>
          <w:szCs w:val="24"/>
        </w:rPr>
        <w:t>predefinizione</w:t>
      </w:r>
      <w:proofErr w:type="spellEnd"/>
      <w:r w:rsidRPr="00D00353">
        <w:rPr>
          <w:rFonts w:ascii="Arial" w:hAnsi="Arial" w:cs="Arial"/>
          <w:sz w:val="24"/>
          <w:szCs w:val="24"/>
        </w:rPr>
        <w:t xml:space="preserve"> e pubblicazione delle modalità per acquisire la documentazione e/o le informazioni complementari </w:t>
      </w:r>
    </w:p>
    <w:p w:rsidR="00D00353" w:rsidRDefault="00D00353" w:rsidP="00492248">
      <w:pPr>
        <w:jc w:val="both"/>
        <w:rPr>
          <w:rFonts w:ascii="Arial" w:hAnsi="Arial" w:cs="Arial"/>
          <w:sz w:val="24"/>
          <w:szCs w:val="24"/>
        </w:rPr>
      </w:pPr>
      <w:r w:rsidRPr="00D00353">
        <w:rPr>
          <w:rFonts w:ascii="Arial" w:hAnsi="Arial" w:cs="Arial"/>
          <w:sz w:val="24"/>
          <w:szCs w:val="24"/>
        </w:rPr>
        <w:lastRenderedPageBreak/>
        <w:t xml:space="preserve">Pubblicazione del nominativo dei soggetti cui ricorrere in caso di ingiustificato ritardo o diniego dell'accesso ai documenti di gara </w:t>
      </w:r>
    </w:p>
    <w:p w:rsidR="00D00353" w:rsidRDefault="00D00353" w:rsidP="00492248">
      <w:pPr>
        <w:jc w:val="both"/>
        <w:rPr>
          <w:rFonts w:ascii="Arial" w:hAnsi="Arial" w:cs="Arial"/>
          <w:sz w:val="24"/>
          <w:szCs w:val="24"/>
        </w:rPr>
      </w:pPr>
      <w:r w:rsidRPr="00D00353">
        <w:rPr>
          <w:rFonts w:ascii="Arial" w:hAnsi="Arial" w:cs="Arial"/>
          <w:sz w:val="24"/>
          <w:szCs w:val="24"/>
        </w:rPr>
        <w:t>Predisposizione di idonei ed inalterabili sistemi di protocollazione delle offerte (prevedendo che, in caso di consegna a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D00353">
        <w:rPr>
          <w:rFonts w:ascii="Arial" w:hAnsi="Arial" w:cs="Arial"/>
          <w:sz w:val="24"/>
          <w:szCs w:val="24"/>
        </w:rPr>
        <w:t>mano, l'attestazione di data e ora di arrivo avvenga in presenza di più funzionari riceventi;</w:t>
      </w:r>
    </w:p>
    <w:p w:rsidR="00A27E0B" w:rsidRDefault="00A27E0B" w:rsidP="00492248">
      <w:p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Direttive/linee guida </w:t>
      </w:r>
      <w:proofErr w:type="spellStart"/>
      <w:r w:rsidRPr="00A27E0B">
        <w:rPr>
          <w:rFonts w:ascii="Arial" w:hAnsi="Arial" w:cs="Arial"/>
          <w:sz w:val="24"/>
          <w:szCs w:val="24"/>
        </w:rPr>
        <w:t>inteme</w:t>
      </w:r>
      <w:proofErr w:type="spellEnd"/>
      <w:r w:rsidRPr="00A27E0B">
        <w:rPr>
          <w:rFonts w:ascii="Arial" w:hAnsi="Arial" w:cs="Arial"/>
          <w:sz w:val="24"/>
          <w:szCs w:val="24"/>
        </w:rPr>
        <w:t xml:space="preserve"> perla corretta conservazione della documentazione di gara per un tempo congruo al fine di consentire verifiche successive, per la menzione nei verbali di gara delle specifiche cautele adottate a tutela dell'integrità e della conservazione delle buste contenenti l'offerta ed individuazione di appositi archivi (fisici e/o informatici) </w:t>
      </w:r>
    </w:p>
    <w:p w:rsidR="00A27E0B" w:rsidRDefault="00A27E0B" w:rsidP="00492248">
      <w:p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Obblighi di trasparenza/pubblicità delle nomine dei componenti delle commissioni e eventuali consulenti </w:t>
      </w:r>
    </w:p>
    <w:p w:rsidR="00A27E0B" w:rsidRDefault="00A27E0B" w:rsidP="00492248">
      <w:p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>Scelta dei componenti delle commissioni, tra i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A27E0B">
        <w:rPr>
          <w:rFonts w:ascii="Arial" w:hAnsi="Arial" w:cs="Arial"/>
          <w:sz w:val="24"/>
          <w:szCs w:val="24"/>
        </w:rPr>
        <w:t>soggetti in possesso dei necessari requisiti, mediante estrazione a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A27E0B">
        <w:rPr>
          <w:rFonts w:ascii="Arial" w:hAnsi="Arial" w:cs="Arial"/>
          <w:sz w:val="24"/>
          <w:szCs w:val="24"/>
        </w:rPr>
        <w:t xml:space="preserve">sorte in un'ampia rosa di candidati </w:t>
      </w:r>
    </w:p>
    <w:p w:rsidR="00A27E0B" w:rsidRDefault="00A27E0B" w:rsidP="00492248">
      <w:p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rendicontazione periodica al RPC, almeno per contratti di importo rilevante, atti a far emergere l'eventuale frequente ricorrenza dei medesimi nominativi o di reclami/segnalazioni sulle nomine effettuate </w:t>
      </w:r>
    </w:p>
    <w:p w:rsidR="00A27E0B" w:rsidRDefault="00A27E0B" w:rsidP="00492248">
      <w:p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Rilascio da parte dei commissari di dichiarazioni attestanti: </w:t>
      </w:r>
    </w:p>
    <w:p w:rsidR="00A27E0B" w:rsidRDefault="00A27E0B" w:rsidP="00A27E0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esatta tipologia di impiego/lavoro, sia pubblico che privato, svolto negli ultimi 5 anni; </w:t>
      </w:r>
    </w:p>
    <w:p w:rsidR="00A27E0B" w:rsidRDefault="00A27E0B" w:rsidP="00A27E0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>di non svolgere o aver svolto «alcun'altra funzione o incarico tecnico o amministrativo relativamente al contratto del cui affidamento si tratta»</w:t>
      </w:r>
    </w:p>
    <w:p w:rsidR="00A27E0B" w:rsidRDefault="00A27E0B" w:rsidP="00A27E0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se professionisti, di essere iscritti in albi professionali da almeno 10 anni </w:t>
      </w:r>
    </w:p>
    <w:p w:rsidR="00A27E0B" w:rsidRDefault="00A27E0B" w:rsidP="00A27E0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di non aver concorso, «in qualità di membri delle commissioni giudicatrici, con dolo o colpa grave accertati in sede giurisdizionale con sentenza non sospesa, all'approvazione di atti dichiarati illegittimi» </w:t>
      </w:r>
    </w:p>
    <w:p w:rsidR="00A27E0B" w:rsidRDefault="00A27E0B" w:rsidP="00A27E0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di non trovarsi in conflitto di interesse con riguardo ai dipendenti della stazione appaltante per rapporti di coniugio, parentela o affinità o pregressi rapporti professionali; </w:t>
      </w:r>
    </w:p>
    <w:p w:rsidR="00A27E0B" w:rsidRDefault="00A27E0B" w:rsidP="00A27E0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 xml:space="preserve">assenza di cause di incompatibilità con riferimento ai concorrenti alla gara, tenuto anche conto delle cause di astensione di cui all'articolo 51 </w:t>
      </w:r>
      <w:proofErr w:type="spellStart"/>
      <w:r w:rsidRPr="00A27E0B">
        <w:rPr>
          <w:rFonts w:ascii="Arial" w:hAnsi="Arial" w:cs="Arial"/>
          <w:sz w:val="24"/>
          <w:szCs w:val="24"/>
        </w:rPr>
        <w:t>c.p.c</w:t>
      </w:r>
      <w:proofErr w:type="spellEnd"/>
      <w:r w:rsidRPr="00A27E0B">
        <w:rPr>
          <w:rFonts w:ascii="Arial" w:hAnsi="Arial" w:cs="Arial"/>
          <w:sz w:val="24"/>
          <w:szCs w:val="24"/>
        </w:rPr>
        <w:t xml:space="preserve">, </w:t>
      </w:r>
    </w:p>
    <w:p w:rsidR="009A642D" w:rsidRDefault="009A642D" w:rsidP="009A642D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A27E0B" w:rsidRDefault="00A27E0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A27E0B">
        <w:rPr>
          <w:rFonts w:ascii="Arial" w:hAnsi="Arial" w:cs="Arial"/>
          <w:sz w:val="24"/>
          <w:szCs w:val="24"/>
        </w:rPr>
        <w:t>Nel caso in cui si riscontri un numero significativo di offerte simili o uguali o altri elementi, adeguata formalizzazione delle verifiche espletate in ordine a situazioni di controllo/collegamento/accordo tra i partecipanti alla gara, tali da poter determinare offerte "concordate"</w:t>
      </w:r>
    </w:p>
    <w:p w:rsidR="009A642D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 xml:space="preserve">Obbligo di segnalazione agli organi di controllo </w:t>
      </w:r>
      <w:proofErr w:type="spellStart"/>
      <w:r w:rsidRPr="009A642D">
        <w:rPr>
          <w:rFonts w:ascii="Arial" w:hAnsi="Arial" w:cs="Arial"/>
          <w:sz w:val="24"/>
          <w:szCs w:val="24"/>
        </w:rPr>
        <w:t>intemo</w:t>
      </w:r>
      <w:proofErr w:type="spellEnd"/>
      <w:r w:rsidRPr="009A642D">
        <w:rPr>
          <w:rFonts w:ascii="Arial" w:hAnsi="Arial" w:cs="Arial"/>
          <w:sz w:val="24"/>
          <w:szCs w:val="24"/>
        </w:rPr>
        <w:t xml:space="preserve"> di gare in cui sia presentata un'unica offerta valida/credibile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>Per le gare di importo più rilevante, acquisizione da parte de</w:t>
      </w:r>
      <w:r w:rsidR="00DF1E74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DF1E74">
        <w:rPr>
          <w:rFonts w:ascii="Arial" w:hAnsi="Arial" w:cs="Arial"/>
          <w:sz w:val="24"/>
          <w:szCs w:val="24"/>
        </w:rPr>
        <w:t>Rup</w:t>
      </w:r>
      <w:proofErr w:type="spellEnd"/>
      <w:r w:rsidRPr="009A642D">
        <w:rPr>
          <w:rFonts w:ascii="Arial" w:hAnsi="Arial" w:cs="Arial"/>
          <w:sz w:val="24"/>
          <w:szCs w:val="24"/>
        </w:rPr>
        <w:t xml:space="preserve"> di una specifica dichiarazione, sottoscritta da ciascun componente della commissione giudicatrice, </w:t>
      </w:r>
      <w:r w:rsidRPr="009A642D">
        <w:rPr>
          <w:rFonts w:ascii="Arial" w:hAnsi="Arial" w:cs="Arial"/>
          <w:sz w:val="24"/>
          <w:szCs w:val="24"/>
        </w:rPr>
        <w:lastRenderedPageBreak/>
        <w:t>attestante l'insussistenza di cause di incompatibilità con l'impresa aggiudicataria della gara e con l'impresa seconda classificata, avendo riguardo anche a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9A642D">
        <w:rPr>
          <w:rFonts w:ascii="Arial" w:hAnsi="Arial" w:cs="Arial"/>
          <w:sz w:val="24"/>
          <w:szCs w:val="24"/>
        </w:rPr>
        <w:t>possibili collegamenti soggettivi e/o di parentela con i componenti dei relativi organi amministrativi e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9A642D">
        <w:rPr>
          <w:rFonts w:ascii="Arial" w:hAnsi="Arial" w:cs="Arial"/>
          <w:sz w:val="24"/>
          <w:szCs w:val="24"/>
        </w:rPr>
        <w:t xml:space="preserve">societari, con riferimento agli ultimi 5 anni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>Obbligo di menzione nei verbali di gara delle specifiche cautele adottate a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9A642D">
        <w:rPr>
          <w:rFonts w:ascii="Arial" w:hAnsi="Arial" w:cs="Arial"/>
          <w:sz w:val="24"/>
          <w:szCs w:val="24"/>
        </w:rPr>
        <w:t xml:space="preserve">tutela dell'integrità e della conservazione delle buste contenenti l'offerta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 xml:space="preserve">Individuazione di appositi archivi (fisici e/o informatici) per la custodia della documentazione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 xml:space="preserve">Pubblicazione delle modalità di scelta, dei nominativi e della qualifica professionale dei componenti delle commissioni di gara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 xml:space="preserve">Pubblicazione sul sito internet della amministrazione, per estratto, dei punteggi attribuiti agli offerenti all'esito dell'aggiudicazione definitiva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9C411B" w:rsidRDefault="009A642D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A642D">
        <w:rPr>
          <w:rFonts w:ascii="Arial" w:hAnsi="Arial" w:cs="Arial"/>
          <w:sz w:val="24"/>
          <w:szCs w:val="24"/>
        </w:rPr>
        <w:t>Obbligo di preventiva pubblicazione online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9A642D">
        <w:rPr>
          <w:rFonts w:ascii="Arial" w:hAnsi="Arial" w:cs="Arial"/>
          <w:sz w:val="24"/>
          <w:szCs w:val="24"/>
        </w:rPr>
        <w:t xml:space="preserve">del calendario delle sedute </w:t>
      </w:r>
    </w:p>
    <w:p w:rsidR="009C411B" w:rsidRDefault="009C411B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>Formalizzazione e pubblicazione da parte dei funzionari e dirigenti che hanno partecipato alla gestione della procedura di gara di una dichiarazione attestante l'insussistenza di cause di incompatibilità con l'impresa aggiudicataria e con la seconda classificata, avendo riguardo anche a</w:t>
      </w:r>
      <w:r w:rsidR="005C77E4">
        <w:rPr>
          <w:rFonts w:ascii="Arial" w:hAnsi="Arial" w:cs="Arial"/>
          <w:sz w:val="24"/>
          <w:szCs w:val="24"/>
        </w:rPr>
        <w:t xml:space="preserve"> </w:t>
      </w:r>
      <w:r w:rsidRPr="00CA6588">
        <w:rPr>
          <w:rFonts w:ascii="Arial" w:hAnsi="Arial" w:cs="Arial"/>
          <w:sz w:val="24"/>
          <w:szCs w:val="24"/>
        </w:rPr>
        <w:t xml:space="preserve">possibili collegamenti soggettivi e/o di parentela con i componenti dei relativi organi amministrativi e societari, con riferimento agli ultimi 5 anni </w:t>
      </w: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 xml:space="preserve">Fermi restando gli adempimenti formali previsti dalla normativa, previsione di una certificazione con valore </w:t>
      </w:r>
      <w:proofErr w:type="spellStart"/>
      <w:r w:rsidRPr="00CA6588">
        <w:rPr>
          <w:rFonts w:ascii="Arial" w:hAnsi="Arial" w:cs="Arial"/>
          <w:sz w:val="24"/>
          <w:szCs w:val="24"/>
        </w:rPr>
        <w:t>intemo</w:t>
      </w:r>
      <w:proofErr w:type="spellEnd"/>
      <w:r w:rsidRPr="00CA6588">
        <w:rPr>
          <w:rFonts w:ascii="Arial" w:hAnsi="Arial" w:cs="Arial"/>
          <w:sz w:val="24"/>
          <w:szCs w:val="24"/>
        </w:rPr>
        <w:t xml:space="preserve">, da inviarsi al RPC da parte del RP, che espliciti l'istruttoria </w:t>
      </w:r>
      <w:proofErr w:type="spellStart"/>
      <w:r w:rsidRPr="00CA6588">
        <w:rPr>
          <w:rFonts w:ascii="Arial" w:hAnsi="Arial" w:cs="Arial"/>
          <w:sz w:val="24"/>
          <w:szCs w:val="24"/>
        </w:rPr>
        <w:t>intema</w:t>
      </w:r>
      <w:proofErr w:type="spellEnd"/>
      <w:r w:rsidRPr="00CA6588">
        <w:rPr>
          <w:rFonts w:ascii="Arial" w:hAnsi="Arial" w:cs="Arial"/>
          <w:sz w:val="24"/>
          <w:szCs w:val="24"/>
        </w:rPr>
        <w:t xml:space="preserve"> condotta sulla legittimità della variante e sugli impatti economici e</w:t>
      </w:r>
      <w:r w:rsidR="00DF1E74">
        <w:rPr>
          <w:rFonts w:ascii="Arial" w:hAnsi="Arial" w:cs="Arial"/>
          <w:sz w:val="24"/>
          <w:szCs w:val="24"/>
        </w:rPr>
        <w:t xml:space="preserve"> </w:t>
      </w:r>
      <w:r w:rsidRPr="00CA6588">
        <w:rPr>
          <w:rFonts w:ascii="Arial" w:hAnsi="Arial" w:cs="Arial"/>
          <w:sz w:val="24"/>
          <w:szCs w:val="24"/>
        </w:rPr>
        <w:t xml:space="preserve">contrattuali della stessa (in particolare con riguardo alla congruità dei costi e tempi di esecuzione aggiuntivi, delle modifiche delle condizioni contrattuali, tempestività del processo di redazione ed approvazione della variante) </w:t>
      </w: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 xml:space="preserve">Verifica del corretto assolvimento dell'obbligo di trasmissione all'ANAC delle varianti </w:t>
      </w: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>Per opere di importo rilevante, pubblicazione online di rapporti periodici che sintetizzino, in modo chiaro ed inte</w:t>
      </w:r>
      <w:r w:rsidR="00DF1E74">
        <w:rPr>
          <w:rFonts w:ascii="Arial" w:hAnsi="Arial" w:cs="Arial"/>
          <w:sz w:val="24"/>
          <w:szCs w:val="24"/>
        </w:rPr>
        <w:t>ll</w:t>
      </w:r>
      <w:r w:rsidRPr="00CA6588">
        <w:rPr>
          <w:rFonts w:ascii="Arial" w:hAnsi="Arial" w:cs="Arial"/>
          <w:sz w:val="24"/>
          <w:szCs w:val="24"/>
        </w:rPr>
        <w:t>egibile, l'andamento del contratto rispetto a tempi, costi e</w:t>
      </w:r>
      <w:r w:rsidR="005C77E4">
        <w:rPr>
          <w:rFonts w:ascii="Arial" w:hAnsi="Arial" w:cs="Arial"/>
          <w:sz w:val="24"/>
          <w:szCs w:val="24"/>
        </w:rPr>
        <w:t xml:space="preserve"> </w:t>
      </w:r>
      <w:r w:rsidRPr="00CA6588">
        <w:rPr>
          <w:rFonts w:ascii="Arial" w:hAnsi="Arial" w:cs="Arial"/>
          <w:sz w:val="24"/>
          <w:szCs w:val="24"/>
        </w:rPr>
        <w:t xml:space="preserve">modalità preventivate in modo da favorire la più ampia informazione possibile </w:t>
      </w:r>
    </w:p>
    <w:p w:rsid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Pr="00CA6588" w:rsidRDefault="00CA6588" w:rsidP="00A27E0B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>Pubblicazione, contestualmente alla loro adozione e</w:t>
      </w:r>
      <w:r>
        <w:rPr>
          <w:rFonts w:ascii="Arial" w:hAnsi="Arial" w:cs="Arial"/>
          <w:sz w:val="24"/>
          <w:szCs w:val="24"/>
        </w:rPr>
        <w:t xml:space="preserve"> </w:t>
      </w:r>
      <w:r w:rsidRPr="00CA6588">
        <w:rPr>
          <w:rFonts w:ascii="Arial" w:hAnsi="Arial" w:cs="Arial"/>
          <w:sz w:val="24"/>
          <w:szCs w:val="24"/>
        </w:rPr>
        <w:t>almeno per</w:t>
      </w:r>
      <w:r>
        <w:rPr>
          <w:rFonts w:ascii="Arial" w:hAnsi="Arial" w:cs="Arial"/>
          <w:sz w:val="24"/>
          <w:szCs w:val="24"/>
        </w:rPr>
        <w:t xml:space="preserve"> </w:t>
      </w:r>
      <w:r w:rsidRPr="00CA6588">
        <w:rPr>
          <w:rFonts w:ascii="Arial" w:hAnsi="Arial" w:cs="Arial"/>
          <w:sz w:val="24"/>
          <w:szCs w:val="24"/>
        </w:rPr>
        <w:t>tutta la durata del contratto, dei provvedimenti di adozione delle varianti</w:t>
      </w:r>
    </w:p>
    <w:p w:rsidR="00CA6588" w:rsidRDefault="00CA658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Default="00CA658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 xml:space="preserve">Effettuazione di un report periodico (ad esempio semestrale), da parte dell'ufficio contratti, al fine di rendicontare agli uffici di controllo </w:t>
      </w:r>
      <w:proofErr w:type="spellStart"/>
      <w:r w:rsidRPr="00CA6588">
        <w:rPr>
          <w:rFonts w:ascii="Arial" w:hAnsi="Arial" w:cs="Arial"/>
          <w:sz w:val="24"/>
          <w:szCs w:val="24"/>
        </w:rPr>
        <w:t>intemo</w:t>
      </w:r>
      <w:proofErr w:type="spellEnd"/>
      <w:r w:rsidRPr="00CA6588">
        <w:rPr>
          <w:rFonts w:ascii="Arial" w:hAnsi="Arial" w:cs="Arial"/>
          <w:sz w:val="24"/>
          <w:szCs w:val="24"/>
        </w:rPr>
        <w:t xml:space="preserve"> di gestione le procedure di gara espletate con evidenza degli elementi di maggiore rilievo (quali importo, tipologia di </w:t>
      </w:r>
      <w:r w:rsidRPr="00CA6588">
        <w:rPr>
          <w:rFonts w:ascii="Arial" w:hAnsi="Arial" w:cs="Arial"/>
          <w:sz w:val="24"/>
          <w:szCs w:val="24"/>
        </w:rPr>
        <w:lastRenderedPageBreak/>
        <w:t>procedura, numero di partecipanti ammessi e esclusi, durata del procedura, ricorrenza dei medesimi aggiudicatari, etc.) in modo che sia facilmente intel</w:t>
      </w:r>
      <w:r w:rsidR="00DF1E74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Pr="00CA6588">
        <w:rPr>
          <w:rFonts w:ascii="Arial" w:hAnsi="Arial" w:cs="Arial"/>
          <w:sz w:val="24"/>
          <w:szCs w:val="24"/>
        </w:rPr>
        <w:t xml:space="preserve">egibile il tipo di procedura adottata, le commissioni di gara deliberanti, le modalità di aggiudicazione, i pagamenti effettuati e le date degli stessi, le eventuali riserve riconosciute nonché tutti gli altri parametri utili per individuare l'iter procedurale seguito </w:t>
      </w:r>
    </w:p>
    <w:p w:rsidR="00CA6588" w:rsidRDefault="00CA658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CA6588" w:rsidRPr="00CA6588" w:rsidRDefault="00CA658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CA6588">
        <w:rPr>
          <w:rFonts w:ascii="Arial" w:hAnsi="Arial" w:cs="Arial"/>
          <w:sz w:val="24"/>
          <w:szCs w:val="24"/>
        </w:rPr>
        <w:t>Pubblicazione delle modalità di scelta, dei nominativi e della qualifica professionale dei componenti delle commissioni di collaudo</w:t>
      </w:r>
    </w:p>
    <w:sectPr w:rsidR="00CA6588" w:rsidRPr="00CA6588" w:rsidSect="00C95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39B"/>
    <w:multiLevelType w:val="hybridMultilevel"/>
    <w:tmpl w:val="400EB0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248"/>
    <w:rsid w:val="00492248"/>
    <w:rsid w:val="005B601B"/>
    <w:rsid w:val="005C77E4"/>
    <w:rsid w:val="009A642D"/>
    <w:rsid w:val="009C411B"/>
    <w:rsid w:val="00A27E0B"/>
    <w:rsid w:val="00C95C26"/>
    <w:rsid w:val="00CA6588"/>
    <w:rsid w:val="00D00353"/>
    <w:rsid w:val="00D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5B0A"/>
  <w15:docId w15:val="{5DE9086F-40FB-4A36-A07C-BE4B993D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C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Amministratore</cp:lastModifiedBy>
  <cp:revision>7</cp:revision>
  <dcterms:created xsi:type="dcterms:W3CDTF">2020-01-15T08:39:00Z</dcterms:created>
  <dcterms:modified xsi:type="dcterms:W3CDTF">2020-01-21T16:05:00Z</dcterms:modified>
</cp:coreProperties>
</file>